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61" w:rsidRPr="0053436B" w:rsidRDefault="00D86711" w:rsidP="00EA6861">
      <w:pPr>
        <w:spacing w:after="0" w:line="20" w:lineRule="atLeast"/>
        <w:ind w:left="2700" w:firstLine="180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0.35pt;margin-top:-9.5pt;width:141.65pt;height:5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" stroked="f">
            <v:textbox>
              <w:txbxContent>
                <w:p w:rsidR="00EA6861" w:rsidRDefault="00EA6861" w:rsidP="00EA6861">
                  <w:r>
                    <w:rPr>
                      <w:noProof/>
                    </w:rPr>
                    <w:drawing>
                      <wp:inline distT="0" distB="0" distL="0" distR="0">
                        <wp:extent cx="1601250" cy="564543"/>
                        <wp:effectExtent l="19050" t="0" r="0" b="0"/>
                        <wp:docPr id="2" name="Picture 1" descr="ICMA Pakistan Logo - High Intensi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MA Pakistan Logo - High Intensity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61" cy="572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6861" w:rsidRPr="0053436B">
        <w:rPr>
          <w:b/>
          <w:sz w:val="28"/>
        </w:rPr>
        <w:t>Institute of Cost and Management Accountants of Pakistan</w:t>
      </w:r>
    </w:p>
    <w:p w:rsidR="00EA6861" w:rsidRPr="00D63BC9" w:rsidRDefault="00EA6861" w:rsidP="00EA6861">
      <w:pPr>
        <w:spacing w:after="0" w:line="20" w:lineRule="atLeast"/>
        <w:ind w:left="2700"/>
        <w:jc w:val="center"/>
        <w:rPr>
          <w:b/>
          <w:color w:val="404040" w:themeColor="text1" w:themeTint="BF"/>
          <w:sz w:val="24"/>
        </w:rPr>
      </w:pPr>
      <w:r w:rsidRPr="00D63BC9">
        <w:rPr>
          <w:b/>
          <w:color w:val="404040" w:themeColor="text1" w:themeTint="BF"/>
          <w:sz w:val="24"/>
        </w:rPr>
        <w:t xml:space="preserve">Research &amp; Publications Directorate </w:t>
      </w:r>
    </w:p>
    <w:p w:rsidR="00EA6861" w:rsidRPr="008C295E" w:rsidRDefault="00EA6861" w:rsidP="00EA6861">
      <w:pPr>
        <w:pStyle w:val="NoSpacing"/>
        <w:spacing w:line="20" w:lineRule="atLeast"/>
        <w:jc w:val="center"/>
        <w:rPr>
          <w:b/>
          <w:color w:val="C00000"/>
        </w:rPr>
      </w:pPr>
    </w:p>
    <w:p w:rsidR="00EA6861" w:rsidRPr="001D399A" w:rsidRDefault="00EA6861" w:rsidP="00EA6861">
      <w:pPr>
        <w:spacing w:after="0" w:line="20" w:lineRule="atLeast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1D399A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Survey on </w:t>
      </w:r>
      <w:r w:rsidR="000727B7" w:rsidRPr="001D399A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Draft Companies Act, 2015 </w:t>
      </w:r>
    </w:p>
    <w:p w:rsidR="00EA6861" w:rsidRPr="001D399A" w:rsidRDefault="00EA6861" w:rsidP="00EA6861">
      <w:pPr>
        <w:pStyle w:val="NoSpacing"/>
        <w:spacing w:line="20" w:lineRule="atLeast"/>
        <w:rPr>
          <w:color w:val="C00000"/>
          <w:sz w:val="28"/>
          <w:szCs w:val="28"/>
        </w:rPr>
      </w:pPr>
    </w:p>
    <w:p w:rsidR="00EA6861" w:rsidRDefault="00EA6861" w:rsidP="00EA6861">
      <w:pPr>
        <w:pStyle w:val="NoSpacing"/>
        <w:jc w:val="both"/>
        <w:rPr>
          <w:sz w:val="20"/>
        </w:rPr>
      </w:pPr>
      <w:r w:rsidRPr="008C295E">
        <w:rPr>
          <w:b/>
          <w:sz w:val="20"/>
        </w:rPr>
        <w:t>Objective</w:t>
      </w:r>
      <w:r w:rsidRPr="008C295E">
        <w:rPr>
          <w:sz w:val="20"/>
        </w:rPr>
        <w:t xml:space="preserve">:The </w:t>
      </w:r>
      <w:r>
        <w:rPr>
          <w:sz w:val="20"/>
        </w:rPr>
        <w:t xml:space="preserve">Securities and Exchange Commission of Pakistan (SECP) </w:t>
      </w:r>
      <w:r w:rsidR="00FE41D3">
        <w:rPr>
          <w:sz w:val="20"/>
        </w:rPr>
        <w:t xml:space="preserve">has prepared a Draft Companies Act 2015 to repeal the existing Companies Ordinance 1984. </w:t>
      </w:r>
      <w:r w:rsidR="00AC73CF">
        <w:rPr>
          <w:sz w:val="20"/>
        </w:rPr>
        <w:t xml:space="preserve">The </w:t>
      </w:r>
      <w:r w:rsidR="00FE41D3">
        <w:rPr>
          <w:sz w:val="20"/>
        </w:rPr>
        <w:t>SECP</w:t>
      </w:r>
      <w:r w:rsidR="00AC73CF">
        <w:rPr>
          <w:sz w:val="20"/>
        </w:rPr>
        <w:t xml:space="preserve"> has sought public comments and</w:t>
      </w:r>
      <w:r w:rsidR="00FE41D3">
        <w:rPr>
          <w:sz w:val="20"/>
        </w:rPr>
        <w:t xml:space="preserve"> started consultative process with</w:t>
      </w:r>
      <w:r w:rsidR="00AC73CF">
        <w:rPr>
          <w:sz w:val="20"/>
        </w:rPr>
        <w:t xml:space="preserve"> the</w:t>
      </w:r>
      <w:r w:rsidR="00FE41D3">
        <w:rPr>
          <w:sz w:val="20"/>
        </w:rPr>
        <w:t xml:space="preserve"> stakeholders to have feedback</w:t>
      </w:r>
      <w:r w:rsidR="00AC73CF">
        <w:rPr>
          <w:sz w:val="20"/>
        </w:rPr>
        <w:t xml:space="preserve"> on the draft law</w:t>
      </w:r>
      <w:r w:rsidR="00FE41D3">
        <w:rPr>
          <w:sz w:val="20"/>
        </w:rPr>
        <w:t xml:space="preserve"> and incorporate the same </w:t>
      </w:r>
      <w:r>
        <w:rPr>
          <w:sz w:val="20"/>
        </w:rPr>
        <w:t>with a view to incorporate best practices to ensure better corporate governance</w:t>
      </w:r>
      <w:r w:rsidR="00150673">
        <w:rPr>
          <w:sz w:val="20"/>
        </w:rPr>
        <w:t xml:space="preserve">. In order to seek opinion of the professionals on </w:t>
      </w:r>
      <w:r w:rsidR="00E779EE">
        <w:rPr>
          <w:sz w:val="20"/>
        </w:rPr>
        <w:t>the draft law</w:t>
      </w:r>
      <w:r w:rsidR="00150673">
        <w:rPr>
          <w:sz w:val="20"/>
        </w:rPr>
        <w:t xml:space="preserve">, the Institute’s Research and Publications </w:t>
      </w:r>
      <w:r w:rsidR="00165822">
        <w:rPr>
          <w:sz w:val="20"/>
        </w:rPr>
        <w:t>D</w:t>
      </w:r>
      <w:r w:rsidR="00150673">
        <w:rPr>
          <w:sz w:val="20"/>
        </w:rPr>
        <w:t xml:space="preserve">irectorate has decided to initiate a survey to </w:t>
      </w:r>
      <w:r w:rsidR="001E5272">
        <w:rPr>
          <w:sz w:val="20"/>
        </w:rPr>
        <w:t xml:space="preserve">assess the significance of amendments with special reference to </w:t>
      </w:r>
      <w:r w:rsidR="00FE41D3">
        <w:rPr>
          <w:sz w:val="20"/>
        </w:rPr>
        <w:t>the CMA profession and members</w:t>
      </w:r>
      <w:r w:rsidR="001E5272">
        <w:rPr>
          <w:sz w:val="20"/>
        </w:rPr>
        <w:t xml:space="preserve">. </w:t>
      </w:r>
    </w:p>
    <w:p w:rsidR="00B94A49" w:rsidRDefault="00B94A49" w:rsidP="001E5BCF">
      <w:pPr>
        <w:spacing w:after="0" w:line="20" w:lineRule="atLeast"/>
      </w:pPr>
    </w:p>
    <w:tbl>
      <w:tblPr>
        <w:tblStyle w:val="TableGrid"/>
        <w:tblW w:w="10075" w:type="dxa"/>
        <w:tblLook w:val="04A0"/>
      </w:tblPr>
      <w:tblGrid>
        <w:gridCol w:w="535"/>
        <w:gridCol w:w="6210"/>
        <w:gridCol w:w="3330"/>
      </w:tblGrid>
      <w:tr w:rsidR="00B94A49" w:rsidRPr="00150673" w:rsidTr="00E779EE">
        <w:tc>
          <w:tcPr>
            <w:tcW w:w="535" w:type="dxa"/>
            <w:shd w:val="clear" w:color="auto" w:fill="D9D9D9" w:themeFill="background1" w:themeFillShade="D9"/>
          </w:tcPr>
          <w:p w:rsidR="00B94A49" w:rsidRPr="00150673" w:rsidRDefault="00B94A49" w:rsidP="00165822">
            <w:pPr>
              <w:spacing w:before="40" w:after="40" w:line="20" w:lineRule="atLeast"/>
              <w:jc w:val="center"/>
              <w:rPr>
                <w:b/>
                <w:sz w:val="20"/>
              </w:rPr>
            </w:pPr>
            <w:r w:rsidRPr="00150673">
              <w:rPr>
                <w:b/>
                <w:sz w:val="20"/>
              </w:rPr>
              <w:t>Sr.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B94A49" w:rsidRPr="00150673" w:rsidRDefault="00D6179F" w:rsidP="00165822">
            <w:pPr>
              <w:spacing w:before="40" w:after="40" w:line="20" w:lineRule="atLeast"/>
              <w:jc w:val="center"/>
              <w:rPr>
                <w:b/>
                <w:sz w:val="20"/>
              </w:rPr>
            </w:pPr>
            <w:r w:rsidRPr="00150673">
              <w:rPr>
                <w:b/>
                <w:sz w:val="20"/>
              </w:rPr>
              <w:t>Questions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B94A49" w:rsidRPr="00150673" w:rsidRDefault="00B94A49" w:rsidP="00165822">
            <w:pPr>
              <w:spacing w:before="40" w:after="40" w:line="20" w:lineRule="atLeast"/>
              <w:jc w:val="center"/>
              <w:rPr>
                <w:b/>
                <w:sz w:val="20"/>
              </w:rPr>
            </w:pPr>
            <w:r w:rsidRPr="00150673">
              <w:rPr>
                <w:b/>
                <w:sz w:val="20"/>
              </w:rPr>
              <w:t>Option</w:t>
            </w:r>
            <w:r w:rsidR="00B25905" w:rsidRPr="00150673">
              <w:rPr>
                <w:b/>
                <w:sz w:val="20"/>
              </w:rPr>
              <w:t>s</w:t>
            </w:r>
          </w:p>
        </w:tc>
      </w:tr>
      <w:tr w:rsidR="00B94A49" w:rsidRPr="00150673" w:rsidTr="00E779EE">
        <w:tc>
          <w:tcPr>
            <w:tcW w:w="535" w:type="dxa"/>
          </w:tcPr>
          <w:p w:rsidR="00B94A49" w:rsidRPr="00150673" w:rsidRDefault="00D6179F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 w:rsidRPr="00150673">
              <w:rPr>
                <w:sz w:val="20"/>
              </w:rPr>
              <w:t>1</w:t>
            </w:r>
          </w:p>
        </w:tc>
        <w:tc>
          <w:tcPr>
            <w:tcW w:w="6210" w:type="dxa"/>
          </w:tcPr>
          <w:p w:rsidR="00B94A49" w:rsidRPr="00150673" w:rsidRDefault="00150673" w:rsidP="001E5272">
            <w:pPr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>E</w:t>
            </w:r>
            <w:r w:rsidR="00D6179F" w:rsidRPr="00150673">
              <w:rPr>
                <w:sz w:val="20"/>
              </w:rPr>
              <w:t xml:space="preserve">xisting Companies Ordinance </w:t>
            </w:r>
            <w:r w:rsidRPr="00150673">
              <w:rPr>
                <w:sz w:val="20"/>
              </w:rPr>
              <w:t xml:space="preserve">need to be amended to </w:t>
            </w:r>
            <w:r w:rsidR="00B25905" w:rsidRPr="00150673">
              <w:rPr>
                <w:sz w:val="20"/>
              </w:rPr>
              <w:t xml:space="preserve">ensure </w:t>
            </w:r>
            <w:r w:rsidRPr="00150673">
              <w:rPr>
                <w:sz w:val="20"/>
              </w:rPr>
              <w:t xml:space="preserve">better </w:t>
            </w:r>
            <w:r w:rsidR="00B25905" w:rsidRPr="00150673">
              <w:rPr>
                <w:sz w:val="20"/>
              </w:rPr>
              <w:t xml:space="preserve">transparency and corporate governance? </w:t>
            </w:r>
          </w:p>
        </w:tc>
        <w:tc>
          <w:tcPr>
            <w:tcW w:w="3330" w:type="dxa"/>
          </w:tcPr>
          <w:p w:rsidR="00B94A49" w:rsidRPr="00150673" w:rsidRDefault="00B25905" w:rsidP="001E5272">
            <w:pPr>
              <w:tabs>
                <w:tab w:val="left" w:pos="160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</w:t>
            </w:r>
            <w:r w:rsidR="00150673" w:rsidRPr="00150673">
              <w:rPr>
                <w:sz w:val="20"/>
              </w:rPr>
              <w:t>Strongly Agree</w:t>
            </w:r>
            <w:r w:rsidRPr="00150673">
              <w:rPr>
                <w:sz w:val="20"/>
              </w:rPr>
              <w:tab/>
              <w:t xml:space="preserve">□ </w:t>
            </w:r>
            <w:r w:rsidR="00150673" w:rsidRPr="00150673">
              <w:rPr>
                <w:sz w:val="20"/>
              </w:rPr>
              <w:t xml:space="preserve">Agree </w:t>
            </w:r>
          </w:p>
          <w:p w:rsidR="00150673" w:rsidRPr="00150673" w:rsidRDefault="00150673" w:rsidP="001E5272">
            <w:pPr>
              <w:tabs>
                <w:tab w:val="left" w:pos="160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</w:t>
            </w:r>
            <w:r>
              <w:rPr>
                <w:sz w:val="20"/>
              </w:rPr>
              <w:t>Somehow Ag</w:t>
            </w:r>
            <w:r w:rsidRPr="00150673">
              <w:rPr>
                <w:sz w:val="20"/>
              </w:rPr>
              <w:t>ree</w:t>
            </w:r>
            <w:r w:rsidRPr="00150673">
              <w:rPr>
                <w:sz w:val="20"/>
              </w:rPr>
              <w:tab/>
              <w:t xml:space="preserve">□ Don’t Agree </w:t>
            </w:r>
          </w:p>
        </w:tc>
      </w:tr>
      <w:tr w:rsidR="00B25905" w:rsidRPr="00150673" w:rsidTr="00E779EE">
        <w:tc>
          <w:tcPr>
            <w:tcW w:w="535" w:type="dxa"/>
          </w:tcPr>
          <w:p w:rsidR="00B25905" w:rsidRPr="00150673" w:rsidRDefault="00B25905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 w:rsidRPr="00150673">
              <w:rPr>
                <w:sz w:val="20"/>
              </w:rPr>
              <w:t>2</w:t>
            </w:r>
          </w:p>
        </w:tc>
        <w:tc>
          <w:tcPr>
            <w:tcW w:w="6210" w:type="dxa"/>
          </w:tcPr>
          <w:p w:rsidR="00B25905" w:rsidRPr="00150673" w:rsidRDefault="00150673" w:rsidP="00352020">
            <w:pPr>
              <w:spacing w:before="40" w:after="40" w:line="20" w:lineRule="atLeast"/>
              <w:rPr>
                <w:sz w:val="20"/>
              </w:rPr>
            </w:pPr>
            <w:r>
              <w:rPr>
                <w:sz w:val="20"/>
              </w:rPr>
              <w:t xml:space="preserve">There is a need to simplify </w:t>
            </w:r>
            <w:r w:rsidR="00352020">
              <w:rPr>
                <w:sz w:val="20"/>
              </w:rPr>
              <w:t xml:space="preserve">the law in the shape of new law </w:t>
            </w:r>
          </w:p>
        </w:tc>
        <w:tc>
          <w:tcPr>
            <w:tcW w:w="3330" w:type="dxa"/>
          </w:tcPr>
          <w:p w:rsidR="001E5272" w:rsidRPr="00150673" w:rsidRDefault="001E5272" w:rsidP="001E5272">
            <w:pPr>
              <w:tabs>
                <w:tab w:val="left" w:pos="160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Strongly Agree </w:t>
            </w:r>
            <w:r w:rsidRPr="00150673">
              <w:rPr>
                <w:sz w:val="20"/>
              </w:rPr>
              <w:tab/>
              <w:t xml:space="preserve">□ Agree </w:t>
            </w:r>
          </w:p>
          <w:p w:rsidR="00B25905" w:rsidRPr="00150673" w:rsidRDefault="001E5272" w:rsidP="001E5272">
            <w:pPr>
              <w:tabs>
                <w:tab w:val="left" w:pos="882"/>
                <w:tab w:val="left" w:pos="160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</w:t>
            </w:r>
            <w:r>
              <w:rPr>
                <w:sz w:val="20"/>
              </w:rPr>
              <w:t>Somehow Ag</w:t>
            </w:r>
            <w:r w:rsidRPr="00150673">
              <w:rPr>
                <w:sz w:val="20"/>
              </w:rPr>
              <w:t>ree</w:t>
            </w:r>
            <w:r w:rsidRPr="00150673">
              <w:rPr>
                <w:sz w:val="20"/>
              </w:rPr>
              <w:tab/>
              <w:t>□ Don’t Agree</w:t>
            </w:r>
          </w:p>
        </w:tc>
      </w:tr>
      <w:tr w:rsidR="00B517A8" w:rsidRPr="00150673" w:rsidTr="00E779EE">
        <w:tc>
          <w:tcPr>
            <w:tcW w:w="535" w:type="dxa"/>
          </w:tcPr>
          <w:p w:rsidR="00B517A8" w:rsidRPr="00150673" w:rsidRDefault="00B517A8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 w:rsidRPr="00150673">
              <w:rPr>
                <w:sz w:val="20"/>
              </w:rPr>
              <w:t>3</w:t>
            </w:r>
          </w:p>
        </w:tc>
        <w:tc>
          <w:tcPr>
            <w:tcW w:w="6210" w:type="dxa"/>
          </w:tcPr>
          <w:p w:rsidR="00B517A8" w:rsidRPr="00150673" w:rsidRDefault="00B517A8" w:rsidP="001E5272">
            <w:pPr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The rights of Rs.3 million and above for audit of private limited company to only one profession restricts promotion and limit choices of audit in the country. </w:t>
            </w:r>
          </w:p>
        </w:tc>
        <w:tc>
          <w:tcPr>
            <w:tcW w:w="3330" w:type="dxa"/>
          </w:tcPr>
          <w:p w:rsidR="00B517A8" w:rsidRPr="00150673" w:rsidRDefault="00B517A8" w:rsidP="001E5272">
            <w:pPr>
              <w:tabs>
                <w:tab w:val="left" w:pos="88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Yes </w:t>
            </w:r>
            <w:r w:rsidRPr="00150673">
              <w:rPr>
                <w:sz w:val="20"/>
              </w:rPr>
              <w:tab/>
              <w:t>□ No</w:t>
            </w:r>
          </w:p>
        </w:tc>
      </w:tr>
      <w:tr w:rsidR="00B517A8" w:rsidRPr="00150673" w:rsidTr="00E779EE">
        <w:tc>
          <w:tcPr>
            <w:tcW w:w="535" w:type="dxa"/>
          </w:tcPr>
          <w:p w:rsidR="00B517A8" w:rsidRPr="00150673" w:rsidRDefault="001E5272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0" w:type="dxa"/>
          </w:tcPr>
          <w:p w:rsidR="00B517A8" w:rsidRPr="00150673" w:rsidRDefault="00B517A8" w:rsidP="001E5272">
            <w:pPr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>The CMAs shall also be eligible to perform audit</w:t>
            </w:r>
            <w:r w:rsidR="00352020">
              <w:rPr>
                <w:sz w:val="20"/>
              </w:rPr>
              <w:t xml:space="preserve">s of companies under the new draft law (section 248 of the proposed repealed law)  </w:t>
            </w:r>
          </w:p>
        </w:tc>
        <w:tc>
          <w:tcPr>
            <w:tcW w:w="3330" w:type="dxa"/>
          </w:tcPr>
          <w:p w:rsidR="00B517A8" w:rsidRPr="00150673" w:rsidRDefault="00B517A8" w:rsidP="001E5272">
            <w:pPr>
              <w:tabs>
                <w:tab w:val="left" w:pos="88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Yes </w:t>
            </w:r>
            <w:r w:rsidRPr="00150673">
              <w:rPr>
                <w:sz w:val="20"/>
              </w:rPr>
              <w:tab/>
              <w:t>□ No</w:t>
            </w:r>
          </w:p>
        </w:tc>
      </w:tr>
      <w:tr w:rsidR="00B517A8" w:rsidRPr="00150673" w:rsidTr="00E779EE">
        <w:tc>
          <w:tcPr>
            <w:tcW w:w="535" w:type="dxa"/>
          </w:tcPr>
          <w:p w:rsidR="00B517A8" w:rsidRPr="00150673" w:rsidRDefault="001E5272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10" w:type="dxa"/>
          </w:tcPr>
          <w:p w:rsidR="00B517A8" w:rsidRPr="00150673" w:rsidRDefault="00B517A8" w:rsidP="00352020">
            <w:pPr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>Section 25</w:t>
            </w:r>
            <w:r w:rsidR="00352020">
              <w:rPr>
                <w:sz w:val="20"/>
              </w:rPr>
              <w:t>2</w:t>
            </w:r>
            <w:r w:rsidRPr="00150673">
              <w:rPr>
                <w:sz w:val="20"/>
              </w:rPr>
              <w:t xml:space="preserve"> of Companies </w:t>
            </w:r>
            <w:r w:rsidR="00352020">
              <w:rPr>
                <w:sz w:val="20"/>
              </w:rPr>
              <w:t xml:space="preserve">Draft Law </w:t>
            </w:r>
            <w:r w:rsidR="001E5BCF" w:rsidRPr="00150673">
              <w:rPr>
                <w:sz w:val="20"/>
              </w:rPr>
              <w:t xml:space="preserve">shall be amended to only allow </w:t>
            </w:r>
            <w:r w:rsidRPr="00150673">
              <w:rPr>
                <w:sz w:val="20"/>
              </w:rPr>
              <w:t xml:space="preserve">CMAs </w:t>
            </w:r>
            <w:r w:rsidR="001E5BCF" w:rsidRPr="00150673">
              <w:rPr>
                <w:sz w:val="20"/>
              </w:rPr>
              <w:t xml:space="preserve">to perform </w:t>
            </w:r>
            <w:r w:rsidRPr="00150673">
              <w:rPr>
                <w:sz w:val="20"/>
              </w:rPr>
              <w:t xml:space="preserve">Cost Audit. </w:t>
            </w:r>
          </w:p>
        </w:tc>
        <w:tc>
          <w:tcPr>
            <w:tcW w:w="3330" w:type="dxa"/>
          </w:tcPr>
          <w:p w:rsidR="00B517A8" w:rsidRPr="00150673" w:rsidRDefault="00B517A8" w:rsidP="001E5272">
            <w:pPr>
              <w:tabs>
                <w:tab w:val="left" w:pos="88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Yes </w:t>
            </w:r>
            <w:r w:rsidRPr="00150673">
              <w:rPr>
                <w:sz w:val="20"/>
              </w:rPr>
              <w:tab/>
              <w:t>□ No</w:t>
            </w:r>
          </w:p>
        </w:tc>
      </w:tr>
      <w:tr w:rsidR="00B36315" w:rsidRPr="00150673" w:rsidTr="00E779EE">
        <w:tc>
          <w:tcPr>
            <w:tcW w:w="535" w:type="dxa"/>
          </w:tcPr>
          <w:p w:rsidR="00B36315" w:rsidRDefault="00FE41D3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10" w:type="dxa"/>
          </w:tcPr>
          <w:p w:rsidR="00B36315" w:rsidRDefault="00B36315" w:rsidP="00352020">
            <w:pPr>
              <w:spacing w:before="40" w:after="40" w:line="20" w:lineRule="atLeast"/>
              <w:rPr>
                <w:sz w:val="20"/>
              </w:rPr>
            </w:pPr>
            <w:r>
              <w:rPr>
                <w:sz w:val="20"/>
              </w:rPr>
              <w:t>The companies shall be encouraged to establish Management Accounting</w:t>
            </w:r>
            <w:r w:rsidR="00352020">
              <w:rPr>
                <w:sz w:val="20"/>
              </w:rPr>
              <w:t xml:space="preserve">/Cost Accounting </w:t>
            </w:r>
            <w:r>
              <w:rPr>
                <w:sz w:val="20"/>
              </w:rPr>
              <w:t xml:space="preserve">Department / Section for </w:t>
            </w:r>
            <w:r w:rsidR="00E779EE">
              <w:rPr>
                <w:sz w:val="20"/>
              </w:rPr>
              <w:t>management reporting</w:t>
            </w:r>
            <w:r w:rsidR="00953430">
              <w:rPr>
                <w:sz w:val="20"/>
              </w:rPr>
              <w:t>,</w:t>
            </w:r>
            <w:r w:rsidR="001658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internal efficiency </w:t>
            </w:r>
            <w:r w:rsidR="00953430">
              <w:rPr>
                <w:sz w:val="20"/>
              </w:rPr>
              <w:t>and regulatory accounting.</w:t>
            </w:r>
          </w:p>
        </w:tc>
        <w:tc>
          <w:tcPr>
            <w:tcW w:w="3330" w:type="dxa"/>
          </w:tcPr>
          <w:p w:rsidR="00B36315" w:rsidRPr="00150673" w:rsidRDefault="00B36315" w:rsidP="001E5272">
            <w:pPr>
              <w:tabs>
                <w:tab w:val="left" w:pos="88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Yes </w:t>
            </w:r>
            <w:r w:rsidRPr="00150673">
              <w:rPr>
                <w:sz w:val="20"/>
              </w:rPr>
              <w:tab/>
              <w:t>□ No</w:t>
            </w:r>
          </w:p>
        </w:tc>
      </w:tr>
      <w:tr w:rsidR="00B36315" w:rsidRPr="00150673" w:rsidTr="00E779EE">
        <w:tc>
          <w:tcPr>
            <w:tcW w:w="535" w:type="dxa"/>
          </w:tcPr>
          <w:p w:rsidR="00B36315" w:rsidRDefault="00FE41D3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10" w:type="dxa"/>
          </w:tcPr>
          <w:p w:rsidR="00B36315" w:rsidRDefault="00B36315" w:rsidP="00B36315">
            <w:pPr>
              <w:spacing w:before="40" w:after="40" w:line="20" w:lineRule="atLeast"/>
              <w:rPr>
                <w:sz w:val="20"/>
              </w:rPr>
            </w:pPr>
            <w:r>
              <w:rPr>
                <w:sz w:val="20"/>
              </w:rPr>
              <w:t xml:space="preserve">The establishment of management accounting department be made mandatory in manufacturing concerns with Chief Management Reporting Officer (CMRO) positions </w:t>
            </w:r>
            <w:r w:rsidR="00922C23">
              <w:rPr>
                <w:sz w:val="20"/>
              </w:rPr>
              <w:t xml:space="preserve">with eligibility criteria as CMAs </w:t>
            </w:r>
          </w:p>
        </w:tc>
        <w:tc>
          <w:tcPr>
            <w:tcW w:w="3330" w:type="dxa"/>
          </w:tcPr>
          <w:p w:rsidR="00B36315" w:rsidRPr="00150673" w:rsidRDefault="00B36315" w:rsidP="001E5272">
            <w:pPr>
              <w:tabs>
                <w:tab w:val="left" w:pos="88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Yes </w:t>
            </w:r>
            <w:r w:rsidRPr="00150673">
              <w:rPr>
                <w:sz w:val="20"/>
              </w:rPr>
              <w:tab/>
              <w:t>□ No</w:t>
            </w:r>
          </w:p>
        </w:tc>
      </w:tr>
      <w:tr w:rsidR="00E235B8" w:rsidRPr="00150673" w:rsidTr="00E779EE">
        <w:tc>
          <w:tcPr>
            <w:tcW w:w="535" w:type="dxa"/>
          </w:tcPr>
          <w:p w:rsidR="00E235B8" w:rsidRDefault="00FE41D3" w:rsidP="001E5272">
            <w:pPr>
              <w:spacing w:before="40" w:after="40"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10" w:type="dxa"/>
          </w:tcPr>
          <w:p w:rsidR="00E235B8" w:rsidRDefault="00E235B8" w:rsidP="00B36315">
            <w:pPr>
              <w:spacing w:before="40" w:after="40" w:line="20" w:lineRule="atLeast"/>
              <w:rPr>
                <w:sz w:val="20"/>
              </w:rPr>
            </w:pPr>
            <w:r>
              <w:rPr>
                <w:sz w:val="20"/>
              </w:rPr>
              <w:t>Have you sent formal comments to SECP?</w:t>
            </w:r>
          </w:p>
        </w:tc>
        <w:tc>
          <w:tcPr>
            <w:tcW w:w="3330" w:type="dxa"/>
          </w:tcPr>
          <w:p w:rsidR="00E235B8" w:rsidRPr="00150673" w:rsidRDefault="00E235B8" w:rsidP="001E5272">
            <w:pPr>
              <w:tabs>
                <w:tab w:val="left" w:pos="882"/>
              </w:tabs>
              <w:spacing w:before="40" w:after="40" w:line="20" w:lineRule="atLeast"/>
              <w:rPr>
                <w:sz w:val="20"/>
              </w:rPr>
            </w:pPr>
            <w:r w:rsidRPr="00150673">
              <w:rPr>
                <w:sz w:val="20"/>
              </w:rPr>
              <w:t xml:space="preserve">□ Yes </w:t>
            </w:r>
            <w:r w:rsidRPr="00150673">
              <w:rPr>
                <w:sz w:val="20"/>
              </w:rPr>
              <w:tab/>
              <w:t>□ No</w:t>
            </w:r>
          </w:p>
        </w:tc>
      </w:tr>
    </w:tbl>
    <w:p w:rsidR="00DE2E50" w:rsidRDefault="00DE2E50" w:rsidP="001E5BCF">
      <w:pPr>
        <w:spacing w:after="0" w:line="20" w:lineRule="atLeast"/>
      </w:pPr>
    </w:p>
    <w:p w:rsidR="00CA0AAD" w:rsidRDefault="00CA0AAD" w:rsidP="001E5BCF">
      <w:pPr>
        <w:spacing w:after="0" w:line="20" w:lineRule="atLeast"/>
      </w:pPr>
      <w:r>
        <w:t xml:space="preserve">Any other Comments / Feedback </w:t>
      </w:r>
      <w:bookmarkStart w:id="0" w:name="_GoBack"/>
      <w:bookmarkEnd w:id="0"/>
    </w:p>
    <w:p w:rsidR="00CA0AAD" w:rsidRDefault="00CA0AAD" w:rsidP="001E5BCF">
      <w:pPr>
        <w:spacing w:after="0" w:line="20" w:lineRule="atLeast"/>
      </w:pPr>
    </w:p>
    <w:p w:rsidR="00CA0AAD" w:rsidRDefault="00CA0AAD" w:rsidP="00CA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</w:pPr>
    </w:p>
    <w:p w:rsidR="00CA0AAD" w:rsidRDefault="00CA0AAD" w:rsidP="00CA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</w:pPr>
    </w:p>
    <w:p w:rsidR="00CA0AAD" w:rsidRDefault="00CA0AAD" w:rsidP="00CA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</w:pPr>
    </w:p>
    <w:p w:rsidR="00CA0AAD" w:rsidRDefault="00CA0AAD" w:rsidP="00CA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</w:pPr>
    </w:p>
    <w:p w:rsidR="00CA0AAD" w:rsidRDefault="00CA0AAD" w:rsidP="00CA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</w:pPr>
    </w:p>
    <w:p w:rsidR="00CA0AAD" w:rsidRDefault="00CA0AAD" w:rsidP="00CA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</w:pPr>
    </w:p>
    <w:p w:rsidR="00CA0AAD" w:rsidRDefault="00CA0AAD" w:rsidP="001E5BCF">
      <w:pPr>
        <w:spacing w:after="0" w:line="20" w:lineRule="atLeast"/>
      </w:pPr>
    </w:p>
    <w:p w:rsidR="00165822" w:rsidRPr="00D649A8" w:rsidRDefault="00165822" w:rsidP="00165822">
      <w:pPr>
        <w:spacing w:after="0" w:line="240" w:lineRule="auto"/>
        <w:jc w:val="center"/>
        <w:rPr>
          <w:b/>
          <w:i/>
        </w:rPr>
      </w:pPr>
      <w:r w:rsidRPr="00D649A8">
        <w:rPr>
          <w:b/>
          <w:i/>
        </w:rPr>
        <w:t>We thank you for your time and energy spent to fill-in the questionnaire.</w:t>
      </w:r>
    </w:p>
    <w:p w:rsidR="00165822" w:rsidRPr="00D649A8" w:rsidRDefault="00165822" w:rsidP="00165822">
      <w:pPr>
        <w:spacing w:after="0" w:line="240" w:lineRule="auto"/>
      </w:pPr>
    </w:p>
    <w:p w:rsidR="00165822" w:rsidRDefault="00D649A8" w:rsidP="00D649A8">
      <w:pPr>
        <w:pStyle w:val="NoSpacing"/>
        <w:jc w:val="center"/>
        <w:rPr>
          <w:b/>
          <w:sz w:val="24"/>
          <w:szCs w:val="24"/>
          <w:u w:val="single"/>
        </w:rPr>
      </w:pPr>
      <w:r w:rsidRPr="00EB0B4D">
        <w:rPr>
          <w:b/>
          <w:sz w:val="24"/>
          <w:szCs w:val="24"/>
        </w:rPr>
        <w:t xml:space="preserve">Kindly email filled-in questionnaire to: </w:t>
      </w:r>
      <w:hyperlink r:id="rId6" w:history="1">
        <w:r w:rsidRPr="00EB0B4D">
          <w:rPr>
            <w:rStyle w:val="Hyperlink"/>
            <w:b/>
            <w:sz w:val="24"/>
            <w:szCs w:val="24"/>
          </w:rPr>
          <w:t>rp@icmap.com.pk</w:t>
        </w:r>
      </w:hyperlink>
      <w:r w:rsidRPr="00EB0B4D">
        <w:rPr>
          <w:b/>
          <w:sz w:val="24"/>
          <w:szCs w:val="24"/>
        </w:rPr>
        <w:t xml:space="preserve"> latest by </w:t>
      </w:r>
      <w:r>
        <w:rPr>
          <w:b/>
          <w:sz w:val="24"/>
          <w:szCs w:val="24"/>
          <w:u w:val="single"/>
        </w:rPr>
        <w:t>Saturday, 30</w:t>
      </w:r>
      <w:r w:rsidRPr="00D649A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 2016</w:t>
      </w:r>
    </w:p>
    <w:p w:rsidR="00D649A8" w:rsidRDefault="00D649A8" w:rsidP="00D649A8">
      <w:pPr>
        <w:pStyle w:val="NoSpacing"/>
        <w:jc w:val="center"/>
      </w:pPr>
    </w:p>
    <w:p w:rsidR="001D399A" w:rsidRDefault="001D399A" w:rsidP="001E5272">
      <w:pPr>
        <w:spacing w:after="0" w:line="20" w:lineRule="atLeast"/>
        <w:jc w:val="center"/>
      </w:pPr>
    </w:p>
    <w:p w:rsidR="00DE2E50" w:rsidRDefault="001E5272" w:rsidP="001E5272">
      <w:pPr>
        <w:spacing w:after="0" w:line="20" w:lineRule="atLeast"/>
        <w:jc w:val="center"/>
      </w:pPr>
      <w:r>
        <w:t>------------------------------ End ------------------------------</w:t>
      </w:r>
    </w:p>
    <w:sectPr w:rsidR="00DE2E50" w:rsidSect="001E5272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4A49"/>
    <w:rsid w:val="000727B7"/>
    <w:rsid w:val="000A684A"/>
    <w:rsid w:val="00150673"/>
    <w:rsid w:val="001527B1"/>
    <w:rsid w:val="00165822"/>
    <w:rsid w:val="001D399A"/>
    <w:rsid w:val="001E5272"/>
    <w:rsid w:val="001E5BCF"/>
    <w:rsid w:val="00352020"/>
    <w:rsid w:val="004D243D"/>
    <w:rsid w:val="00922C23"/>
    <w:rsid w:val="00953430"/>
    <w:rsid w:val="00A41CB0"/>
    <w:rsid w:val="00AC73CF"/>
    <w:rsid w:val="00B25905"/>
    <w:rsid w:val="00B36315"/>
    <w:rsid w:val="00B517A8"/>
    <w:rsid w:val="00B94A49"/>
    <w:rsid w:val="00CA0AAD"/>
    <w:rsid w:val="00D6179F"/>
    <w:rsid w:val="00D649A8"/>
    <w:rsid w:val="00D82612"/>
    <w:rsid w:val="00D86711"/>
    <w:rsid w:val="00DE2E50"/>
    <w:rsid w:val="00E235B8"/>
    <w:rsid w:val="00E779EE"/>
    <w:rsid w:val="00EA6861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49"/>
    <w:pPr>
      <w:ind w:left="720"/>
      <w:contextualSpacing/>
    </w:pPr>
  </w:style>
  <w:style w:type="table" w:styleId="TableGrid">
    <w:name w:val="Table Grid"/>
    <w:basedOn w:val="TableNormal"/>
    <w:uiPriority w:val="39"/>
    <w:rsid w:val="00B9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686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9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@icmap.com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8849-E41F-40D1-96B2-39944269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Arshad Ali</dc:creator>
  <cp:lastModifiedBy>m.shahid</cp:lastModifiedBy>
  <cp:revision>7</cp:revision>
  <dcterms:created xsi:type="dcterms:W3CDTF">2016-01-19T04:33:00Z</dcterms:created>
  <dcterms:modified xsi:type="dcterms:W3CDTF">2016-01-19T07:18:00Z</dcterms:modified>
</cp:coreProperties>
</file>